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10B075" w14:textId="77777777" w:rsidR="003365FC" w:rsidRPr="008D125B" w:rsidRDefault="008D125B" w:rsidP="008D125B">
      <w:pPr>
        <w:jc w:val="center"/>
        <w:rPr>
          <w:rFonts w:ascii="Arial" w:hAnsi="Arial" w:cs="Arial"/>
          <w:color w:val="000000" w:themeColor="text1"/>
        </w:rPr>
      </w:pPr>
      <w:r w:rsidRPr="008D125B">
        <w:rPr>
          <w:rFonts w:ascii="Arial" w:hAnsi="Arial" w:cs="Arial"/>
          <w:color w:val="000000" w:themeColor="text1"/>
        </w:rPr>
        <w:t>Private Child Placing (PCP)</w:t>
      </w:r>
      <w:r w:rsidR="009E2609">
        <w:rPr>
          <w:rFonts w:ascii="Arial" w:hAnsi="Arial" w:cs="Arial"/>
          <w:color w:val="000000" w:themeColor="text1"/>
        </w:rPr>
        <w:t xml:space="preserve"> Adoption Subsidy Calculation </w:t>
      </w:r>
    </w:p>
    <w:p w14:paraId="174E49F4" w14:textId="77777777" w:rsidR="003365FC" w:rsidRPr="000D71FF" w:rsidRDefault="003365FC" w:rsidP="00A50953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</w:rPr>
      </w:pPr>
      <w:r w:rsidRPr="000D71FF">
        <w:rPr>
          <w:rFonts w:ascii="Arial" w:eastAsia="Times New Roman" w:hAnsi="Arial" w:cs="Arial"/>
        </w:rPr>
        <w:t>The adoption subsidy amount shall not exceed the amount paid for foster care maintenance for the same child</w:t>
      </w:r>
      <w:r w:rsidR="008D125B" w:rsidRPr="000D71FF">
        <w:rPr>
          <w:rFonts w:ascii="Arial" w:eastAsia="Times New Roman" w:hAnsi="Arial" w:cs="Arial"/>
        </w:rPr>
        <w:t>,</w:t>
      </w:r>
      <w:r w:rsidRPr="000D71FF">
        <w:rPr>
          <w:rFonts w:ascii="Arial" w:eastAsia="Times New Roman" w:hAnsi="Arial" w:cs="Arial"/>
        </w:rPr>
        <w:t xml:space="preserve"> or exceed the foster care per diem reimbursement established by DCBS (including medically complex rates and care plus rates).  </w:t>
      </w:r>
    </w:p>
    <w:p w14:paraId="3177DA20" w14:textId="77777777" w:rsidR="003365FC" w:rsidRPr="000D71FF" w:rsidRDefault="003365FC" w:rsidP="00A50953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</w:rPr>
      </w:pPr>
      <w:r w:rsidRPr="000D71FF">
        <w:rPr>
          <w:rFonts w:ascii="Arial" w:eastAsia="Times New Roman" w:hAnsi="Arial" w:cs="Arial"/>
        </w:rPr>
        <w:t>Children being adopted as a level</w:t>
      </w:r>
      <w:r w:rsidR="008D125B" w:rsidRPr="000D71FF">
        <w:rPr>
          <w:rFonts w:ascii="Arial" w:eastAsia="Times New Roman" w:hAnsi="Arial" w:cs="Arial"/>
        </w:rPr>
        <w:t xml:space="preserve"> of care (LOC)</w:t>
      </w:r>
      <w:r w:rsidRPr="000D71FF">
        <w:rPr>
          <w:rFonts w:ascii="Arial" w:eastAsia="Times New Roman" w:hAnsi="Arial" w:cs="Arial"/>
        </w:rPr>
        <w:t xml:space="preserve"> 1 or 2 shall qualify up to the advanced rate. </w:t>
      </w:r>
    </w:p>
    <w:p w14:paraId="5DF7D836" w14:textId="77777777" w:rsidR="003365FC" w:rsidRPr="000D71FF" w:rsidRDefault="003365FC" w:rsidP="00A50953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</w:rPr>
      </w:pPr>
      <w:r w:rsidRPr="000D71FF">
        <w:rPr>
          <w:rFonts w:ascii="Arial" w:eastAsia="Times New Roman" w:hAnsi="Arial" w:cs="Arial"/>
        </w:rPr>
        <w:t>C</w:t>
      </w:r>
      <w:r w:rsidR="008D125B" w:rsidRPr="000D71FF">
        <w:rPr>
          <w:rFonts w:ascii="Arial" w:eastAsia="Times New Roman" w:hAnsi="Arial" w:cs="Arial"/>
        </w:rPr>
        <w:t>hildren being adopted as a LOC</w:t>
      </w:r>
      <w:r w:rsidRPr="000D71FF">
        <w:rPr>
          <w:rFonts w:ascii="Arial" w:eastAsia="Times New Roman" w:hAnsi="Arial" w:cs="Arial"/>
        </w:rPr>
        <w:t xml:space="preserve"> 3, 4</w:t>
      </w:r>
      <w:r w:rsidR="008D125B" w:rsidRPr="000D71FF">
        <w:rPr>
          <w:rFonts w:ascii="Arial" w:eastAsia="Times New Roman" w:hAnsi="Arial" w:cs="Arial"/>
        </w:rPr>
        <w:t>, or 5 shall qualify up to the care plus or medically c</w:t>
      </w:r>
      <w:r w:rsidRPr="000D71FF">
        <w:rPr>
          <w:rFonts w:ascii="Arial" w:eastAsia="Times New Roman" w:hAnsi="Arial" w:cs="Arial"/>
        </w:rPr>
        <w:t>omplex rate.  A PCP fa</w:t>
      </w:r>
      <w:r w:rsidR="008D125B" w:rsidRPr="000D71FF">
        <w:rPr>
          <w:rFonts w:ascii="Arial" w:eastAsia="Times New Roman" w:hAnsi="Arial" w:cs="Arial"/>
        </w:rPr>
        <w:t>mily meets the care p</w:t>
      </w:r>
      <w:r w:rsidRPr="000D71FF">
        <w:rPr>
          <w:rFonts w:ascii="Arial" w:eastAsia="Times New Roman" w:hAnsi="Arial" w:cs="Arial"/>
        </w:rPr>
        <w:t>lus stand</w:t>
      </w:r>
      <w:r w:rsidR="008D125B" w:rsidRPr="000D71FF">
        <w:rPr>
          <w:rFonts w:ascii="Arial" w:eastAsia="Times New Roman" w:hAnsi="Arial" w:cs="Arial"/>
        </w:rPr>
        <w:t>ard for children who are a LOC</w:t>
      </w:r>
      <w:r w:rsidRPr="000D71FF">
        <w:rPr>
          <w:rFonts w:ascii="Arial" w:eastAsia="Times New Roman" w:hAnsi="Arial" w:cs="Arial"/>
        </w:rPr>
        <w:t xml:space="preserve"> 3, 4, or 5.       </w:t>
      </w:r>
    </w:p>
    <w:p w14:paraId="082E809D" w14:textId="77777777" w:rsidR="003365FC" w:rsidRPr="000D71FF" w:rsidRDefault="003365FC" w:rsidP="003365FC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</w:rPr>
      </w:pPr>
      <w:r w:rsidRPr="000D71FF">
        <w:rPr>
          <w:rFonts w:ascii="Arial" w:eastAsia="Times New Roman" w:hAnsi="Arial" w:cs="Arial"/>
        </w:rPr>
        <w:t>Child care services for full-time or part-time working </w:t>
      </w:r>
      <w:r w:rsidRPr="000D71FF">
        <w:rPr>
          <w:rFonts w:ascii="Arial" w:eastAsia="Times New Roman" w:hAnsi="Arial" w:cs="Arial"/>
          <w:shd w:val="clear" w:color="auto" w:fill="FFFFFF"/>
        </w:rPr>
        <w:t>foster and adoptive</w:t>
      </w:r>
      <w:r w:rsidR="008D125B" w:rsidRPr="000D71FF">
        <w:rPr>
          <w:rFonts w:ascii="Arial" w:eastAsia="Times New Roman" w:hAnsi="Arial" w:cs="Arial"/>
        </w:rPr>
        <w:t xml:space="preserve"> parents who work</w:t>
      </w:r>
      <w:r w:rsidRPr="000D71FF">
        <w:rPr>
          <w:rFonts w:ascii="Arial" w:eastAsia="Times New Roman" w:hAnsi="Arial" w:cs="Arial"/>
        </w:rPr>
        <w:t xml:space="preserve"> a minimum of twenty (20) hours per week and with annual employment verification or adoptive parents pursuing higher education.  </w:t>
      </w:r>
    </w:p>
    <w:p w14:paraId="7B08B736" w14:textId="77777777" w:rsidR="003365FC" w:rsidRPr="008D125B" w:rsidRDefault="003365FC" w:rsidP="003365F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 w:themeColor="text1"/>
        </w:rPr>
      </w:pPr>
      <w:r w:rsidRPr="008D125B">
        <w:rPr>
          <w:rFonts w:ascii="Arial" w:eastAsia="Times New Roman" w:hAnsi="Arial" w:cs="Arial"/>
          <w:b/>
          <w:bCs/>
          <w:color w:val="000000" w:themeColor="text1"/>
        </w:rPr>
        <w:t xml:space="preserve">Calculating Adoption Monthly Maintenance for PCP Adoptions </w:t>
      </w:r>
    </w:p>
    <w:p w14:paraId="18698AF4" w14:textId="77777777" w:rsidR="003365FC" w:rsidRPr="008D125B" w:rsidRDefault="003365FC" w:rsidP="008D125B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</w:rPr>
      </w:pPr>
      <w:r w:rsidRPr="008D125B">
        <w:rPr>
          <w:rFonts w:ascii="Arial" w:eastAsia="Times New Roman" w:hAnsi="Arial" w:cs="Arial"/>
          <w:color w:val="000000" w:themeColor="text1"/>
        </w:rPr>
        <w:t>Request from the PCP agency the current rate the prospective adoptive parent is receiving and current level of the child.</w:t>
      </w:r>
    </w:p>
    <w:p w14:paraId="240481B1" w14:textId="77777777" w:rsidR="003365FC" w:rsidRPr="008D125B" w:rsidRDefault="008D125B" w:rsidP="008D125B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</w:rPr>
      </w:pPr>
      <w:r w:rsidRPr="008D125B">
        <w:rPr>
          <w:rFonts w:ascii="Arial" w:eastAsia="Times New Roman" w:hAnsi="Arial" w:cs="Arial"/>
          <w:color w:val="000000" w:themeColor="text1"/>
        </w:rPr>
        <w:t>If the child is a LOC</w:t>
      </w:r>
      <w:r w:rsidR="003365FC" w:rsidRPr="008D125B">
        <w:rPr>
          <w:rFonts w:ascii="Arial" w:eastAsia="Times New Roman" w:hAnsi="Arial" w:cs="Arial"/>
          <w:color w:val="000000" w:themeColor="text1"/>
        </w:rPr>
        <w:t xml:space="preserve"> 1 or 2</w:t>
      </w:r>
      <w:r w:rsidR="00EF44F5">
        <w:rPr>
          <w:rFonts w:ascii="Arial" w:eastAsia="Times New Roman" w:hAnsi="Arial" w:cs="Arial"/>
          <w:color w:val="000000" w:themeColor="text1"/>
        </w:rPr>
        <w:t>,</w:t>
      </w:r>
      <w:r w:rsidR="003365FC" w:rsidRPr="008D125B">
        <w:rPr>
          <w:rFonts w:ascii="Arial" w:eastAsia="Times New Roman" w:hAnsi="Arial" w:cs="Arial"/>
          <w:color w:val="000000" w:themeColor="text1"/>
        </w:rPr>
        <w:t xml:space="preserve"> the family shall continue to receive the current daily rate that is received from the PCP</w:t>
      </w:r>
      <w:r w:rsidRPr="008D125B">
        <w:rPr>
          <w:rFonts w:ascii="Arial" w:eastAsia="Times New Roman" w:hAnsi="Arial" w:cs="Arial"/>
          <w:color w:val="000000" w:themeColor="text1"/>
        </w:rPr>
        <w:t xml:space="preserve">.  </w:t>
      </w:r>
      <w:r w:rsidR="003365FC" w:rsidRPr="008D125B">
        <w:rPr>
          <w:rFonts w:ascii="Arial" w:eastAsia="Times New Roman" w:hAnsi="Arial" w:cs="Arial"/>
          <w:color w:val="000000" w:themeColor="text1"/>
        </w:rPr>
        <w:t xml:space="preserve">However, the family shall not receive more than the advanced DCBS rate. </w:t>
      </w:r>
    </w:p>
    <w:p w14:paraId="5BF02EFA" w14:textId="77777777" w:rsidR="003365FC" w:rsidRPr="008D125B" w:rsidRDefault="008D125B" w:rsidP="008D125B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</w:rPr>
      </w:pPr>
      <w:r w:rsidRPr="008D125B">
        <w:rPr>
          <w:rFonts w:ascii="Arial" w:eastAsia="Times New Roman" w:hAnsi="Arial" w:cs="Arial"/>
          <w:color w:val="000000" w:themeColor="text1"/>
        </w:rPr>
        <w:t xml:space="preserve">If the child is a LOC </w:t>
      </w:r>
      <w:r w:rsidR="003365FC" w:rsidRPr="008D125B">
        <w:rPr>
          <w:rFonts w:ascii="Arial" w:eastAsia="Times New Roman" w:hAnsi="Arial" w:cs="Arial"/>
          <w:color w:val="000000" w:themeColor="text1"/>
        </w:rPr>
        <w:t>3, 4 or 5</w:t>
      </w:r>
      <w:r w:rsidR="00EF44F5">
        <w:rPr>
          <w:rFonts w:ascii="Arial" w:eastAsia="Times New Roman" w:hAnsi="Arial" w:cs="Arial"/>
          <w:color w:val="000000" w:themeColor="text1"/>
        </w:rPr>
        <w:t>,</w:t>
      </w:r>
      <w:r w:rsidR="003365FC" w:rsidRPr="008D125B">
        <w:rPr>
          <w:rFonts w:ascii="Arial" w:eastAsia="Times New Roman" w:hAnsi="Arial" w:cs="Arial"/>
          <w:color w:val="000000" w:themeColor="text1"/>
        </w:rPr>
        <w:t xml:space="preserve"> the family shall continue to receive the current daily rate that is received from the PCP.  However, the family shall not </w:t>
      </w:r>
      <w:r w:rsidRPr="008D125B">
        <w:rPr>
          <w:rFonts w:ascii="Arial" w:eastAsia="Times New Roman" w:hAnsi="Arial" w:cs="Arial"/>
          <w:color w:val="000000" w:themeColor="text1"/>
        </w:rPr>
        <w:t>receive more than the advanced care p</w:t>
      </w:r>
      <w:r w:rsidR="003365FC" w:rsidRPr="008D125B">
        <w:rPr>
          <w:rFonts w:ascii="Arial" w:eastAsia="Times New Roman" w:hAnsi="Arial" w:cs="Arial"/>
          <w:color w:val="000000" w:themeColor="text1"/>
        </w:rPr>
        <w:t xml:space="preserve">lus DCBS rate. </w:t>
      </w:r>
    </w:p>
    <w:p w14:paraId="10CB45D2" w14:textId="77777777" w:rsidR="0026487B" w:rsidRPr="0026487B" w:rsidRDefault="008D125B" w:rsidP="0026487B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</w:rPr>
      </w:pPr>
      <w:r w:rsidRPr="008D125B">
        <w:rPr>
          <w:rFonts w:ascii="Arial" w:eastAsia="Times New Roman" w:hAnsi="Arial" w:cs="Arial"/>
          <w:color w:val="000000" w:themeColor="text1"/>
        </w:rPr>
        <w:t>If the child is deemed medically complex,</w:t>
      </w:r>
      <w:r w:rsidR="003365FC" w:rsidRPr="008D125B">
        <w:rPr>
          <w:rFonts w:ascii="Arial" w:eastAsia="Times New Roman" w:hAnsi="Arial" w:cs="Arial"/>
          <w:color w:val="000000" w:themeColor="text1"/>
        </w:rPr>
        <w:t xml:space="preserve"> the family shall continue to receive the current daily rate that</w:t>
      </w:r>
      <w:r w:rsidR="00EF44F5">
        <w:rPr>
          <w:rFonts w:ascii="Arial" w:eastAsia="Times New Roman" w:hAnsi="Arial" w:cs="Arial"/>
          <w:color w:val="000000" w:themeColor="text1"/>
        </w:rPr>
        <w:t xml:space="preserve"> </w:t>
      </w:r>
      <w:r w:rsidR="003365FC" w:rsidRPr="008D125B">
        <w:rPr>
          <w:rFonts w:ascii="Arial" w:eastAsia="Times New Roman" w:hAnsi="Arial" w:cs="Arial"/>
          <w:color w:val="000000" w:themeColor="text1"/>
        </w:rPr>
        <w:t xml:space="preserve">is received from the PCP.  However, the family shall not receive </w:t>
      </w:r>
      <w:r w:rsidRPr="008D125B">
        <w:rPr>
          <w:rFonts w:ascii="Arial" w:eastAsia="Times New Roman" w:hAnsi="Arial" w:cs="Arial"/>
          <w:color w:val="000000" w:themeColor="text1"/>
        </w:rPr>
        <w:t xml:space="preserve">more than the established DCBS medically complex rate (i.e. specialized medically complex or degreed medically complex, etc.).  </w:t>
      </w:r>
      <w:r w:rsidR="003365FC" w:rsidRPr="008D125B">
        <w:rPr>
          <w:rFonts w:ascii="Arial" w:eastAsia="Times New Roman" w:hAnsi="Arial" w:cs="Arial"/>
          <w:color w:val="000000" w:themeColor="text1"/>
          <w:vertAlign w:val="subscript"/>
        </w:rPr>
        <w:t xml:space="preserve"> </w:t>
      </w:r>
    </w:p>
    <w:p w14:paraId="4A77F4CE" w14:textId="44A53411" w:rsidR="003365FC" w:rsidRPr="0026487B" w:rsidRDefault="003365FC" w:rsidP="0026487B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</w:rPr>
      </w:pPr>
      <w:r w:rsidRPr="0026487B">
        <w:rPr>
          <w:rFonts w:ascii="Arial" w:eastAsia="Times New Roman" w:hAnsi="Arial" w:cs="Arial"/>
          <w:color w:val="000000" w:themeColor="text1"/>
        </w:rPr>
        <w:t>The</w:t>
      </w:r>
      <w:bookmarkStart w:id="0" w:name="_GoBack"/>
      <w:bookmarkEnd w:id="0"/>
      <w:r w:rsidRPr="0026487B">
        <w:rPr>
          <w:rFonts w:ascii="Arial" w:eastAsia="Times New Roman" w:hAnsi="Arial" w:cs="Arial"/>
          <w:color w:val="000000" w:themeColor="text1"/>
        </w:rPr>
        <w:t xml:space="preserve"> calculation formula to determine monthly maintenance rate is as follows: daily amount x 365 divided by 12 = monthly maintenance amoun</w:t>
      </w:r>
      <w:r w:rsidR="008D125B" w:rsidRPr="0026487B">
        <w:rPr>
          <w:rFonts w:ascii="Arial" w:eastAsia="Times New Roman" w:hAnsi="Arial" w:cs="Arial"/>
          <w:color w:val="000000" w:themeColor="text1"/>
        </w:rPr>
        <w:t xml:space="preserve">t (round to nearest dollar).  </w:t>
      </w:r>
    </w:p>
    <w:p w14:paraId="76F756FA" w14:textId="77777777" w:rsidR="003365FC" w:rsidRPr="008D125B" w:rsidRDefault="003365FC" w:rsidP="003365FC">
      <w:pPr>
        <w:spacing w:after="0" w:line="240" w:lineRule="auto"/>
        <w:ind w:left="360"/>
        <w:rPr>
          <w:rFonts w:ascii="Arial" w:eastAsia="Times New Roman" w:hAnsi="Arial" w:cs="Arial"/>
          <w:b/>
          <w:color w:val="000000" w:themeColor="text1"/>
        </w:rPr>
      </w:pPr>
      <w:r w:rsidRPr="008D125B">
        <w:rPr>
          <w:rFonts w:ascii="Arial" w:eastAsia="Times New Roman" w:hAnsi="Arial" w:cs="Arial"/>
          <w:b/>
          <w:color w:val="000000" w:themeColor="text1"/>
        </w:rPr>
        <w:t xml:space="preserve">Examples of calculations: </w:t>
      </w:r>
    </w:p>
    <w:p w14:paraId="09D0B45A" w14:textId="77777777" w:rsidR="003365FC" w:rsidRPr="008D125B" w:rsidRDefault="000D71FF" w:rsidP="008D125B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 xml:space="preserve">The child is a LOC </w:t>
      </w:r>
      <w:r w:rsidR="003365FC" w:rsidRPr="008D125B">
        <w:rPr>
          <w:rFonts w:ascii="Arial" w:eastAsia="Times New Roman" w:hAnsi="Arial" w:cs="Arial"/>
          <w:color w:val="000000" w:themeColor="text1"/>
        </w:rPr>
        <w:t xml:space="preserve">3 and the PCP daily rate to the family is $33 a day.  $33 x 365 = </w:t>
      </w:r>
      <w:r>
        <w:rPr>
          <w:rFonts w:ascii="Arial" w:eastAsia="Times New Roman" w:hAnsi="Arial" w:cs="Arial"/>
          <w:color w:val="000000" w:themeColor="text1"/>
        </w:rPr>
        <w:t>$</w:t>
      </w:r>
      <w:r w:rsidR="003365FC" w:rsidRPr="008D125B">
        <w:rPr>
          <w:rFonts w:ascii="Arial" w:eastAsia="Times New Roman" w:hAnsi="Arial" w:cs="Arial"/>
          <w:color w:val="000000" w:themeColor="text1"/>
        </w:rPr>
        <w:t xml:space="preserve">12,045 per year divided by 12 = </w:t>
      </w:r>
      <w:r>
        <w:rPr>
          <w:rFonts w:ascii="Arial" w:eastAsia="Times New Roman" w:hAnsi="Arial" w:cs="Arial"/>
          <w:color w:val="000000" w:themeColor="text1"/>
        </w:rPr>
        <w:t>$</w:t>
      </w:r>
      <w:r w:rsidR="003365FC" w:rsidRPr="008D125B">
        <w:rPr>
          <w:rFonts w:ascii="Arial" w:eastAsia="Times New Roman" w:hAnsi="Arial" w:cs="Arial"/>
          <w:color w:val="000000" w:themeColor="text1"/>
        </w:rPr>
        <w:t xml:space="preserve">1,003.75, which rounds up to </w:t>
      </w:r>
      <w:r>
        <w:rPr>
          <w:rFonts w:ascii="Arial" w:eastAsia="Times New Roman" w:hAnsi="Arial" w:cs="Arial"/>
          <w:color w:val="000000" w:themeColor="text1"/>
        </w:rPr>
        <w:t>$</w:t>
      </w:r>
      <w:r w:rsidR="003365FC" w:rsidRPr="008D125B">
        <w:rPr>
          <w:rFonts w:ascii="Arial" w:eastAsia="Times New Roman" w:hAnsi="Arial" w:cs="Arial"/>
          <w:color w:val="000000" w:themeColor="text1"/>
        </w:rPr>
        <w:t>1,004 per month.</w:t>
      </w:r>
    </w:p>
    <w:p w14:paraId="26A39A2B" w14:textId="77777777" w:rsidR="003365FC" w:rsidRPr="008D125B" w:rsidRDefault="000D71FF" w:rsidP="008D125B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 xml:space="preserve">The child is age 7, a LOC </w:t>
      </w:r>
      <w:r w:rsidR="003365FC" w:rsidRPr="008D125B">
        <w:rPr>
          <w:rFonts w:ascii="Arial" w:eastAsia="Times New Roman" w:hAnsi="Arial" w:cs="Arial"/>
          <w:color w:val="000000" w:themeColor="text1"/>
        </w:rPr>
        <w:t>2</w:t>
      </w:r>
      <w:r w:rsidR="00EF44F5">
        <w:rPr>
          <w:rFonts w:ascii="Arial" w:eastAsia="Times New Roman" w:hAnsi="Arial" w:cs="Arial"/>
          <w:color w:val="000000" w:themeColor="text1"/>
        </w:rPr>
        <w:t>,</w:t>
      </w:r>
      <w:r w:rsidR="003365FC" w:rsidRPr="008D125B">
        <w:rPr>
          <w:rFonts w:ascii="Arial" w:eastAsia="Times New Roman" w:hAnsi="Arial" w:cs="Arial"/>
          <w:color w:val="000000" w:themeColor="text1"/>
        </w:rPr>
        <w:t xml:space="preserve"> and the PCP rate to the family is $33 a day.  In this </w:t>
      </w:r>
      <w:r w:rsidRPr="008D125B">
        <w:rPr>
          <w:rFonts w:ascii="Arial" w:eastAsia="Times New Roman" w:hAnsi="Arial" w:cs="Arial"/>
          <w:color w:val="000000" w:themeColor="text1"/>
        </w:rPr>
        <w:t>scenario,</w:t>
      </w:r>
      <w:r w:rsidR="003365FC" w:rsidRPr="008D125B">
        <w:rPr>
          <w:rFonts w:ascii="Arial" w:eastAsia="Times New Roman" w:hAnsi="Arial" w:cs="Arial"/>
          <w:color w:val="000000" w:themeColor="text1"/>
        </w:rPr>
        <w:t xml:space="preserve"> DCBS staff should utilize the corresponding DCBS </w:t>
      </w:r>
      <w:r w:rsidRPr="008D125B">
        <w:rPr>
          <w:rFonts w:ascii="Arial" w:eastAsia="Times New Roman" w:hAnsi="Arial" w:cs="Arial"/>
          <w:color w:val="000000" w:themeColor="text1"/>
        </w:rPr>
        <w:t>rate, which</w:t>
      </w:r>
      <w:r w:rsidR="003365FC" w:rsidRPr="008D125B">
        <w:rPr>
          <w:rFonts w:ascii="Arial" w:eastAsia="Times New Roman" w:hAnsi="Arial" w:cs="Arial"/>
          <w:color w:val="000000" w:themeColor="text1"/>
        </w:rPr>
        <w:t xml:space="preserve"> would be $26.40 per day, $9636 per year, $803 per month. </w:t>
      </w:r>
    </w:p>
    <w:p w14:paraId="6D5E234F" w14:textId="77777777" w:rsidR="008D125B" w:rsidRPr="008D125B" w:rsidRDefault="000D71FF" w:rsidP="008D125B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The child is age 7, a LOC</w:t>
      </w:r>
      <w:r w:rsidR="003365FC" w:rsidRPr="008D125B">
        <w:rPr>
          <w:rFonts w:ascii="Arial" w:eastAsia="Times New Roman" w:hAnsi="Arial" w:cs="Arial"/>
          <w:color w:val="000000" w:themeColor="text1"/>
        </w:rPr>
        <w:t xml:space="preserve"> 2</w:t>
      </w:r>
      <w:r w:rsidR="00EF44F5">
        <w:rPr>
          <w:rFonts w:ascii="Arial" w:eastAsia="Times New Roman" w:hAnsi="Arial" w:cs="Arial"/>
          <w:color w:val="000000" w:themeColor="text1"/>
        </w:rPr>
        <w:t>,</w:t>
      </w:r>
      <w:r w:rsidR="003365FC" w:rsidRPr="008D125B">
        <w:rPr>
          <w:rFonts w:ascii="Arial" w:eastAsia="Times New Roman" w:hAnsi="Arial" w:cs="Arial"/>
          <w:color w:val="000000" w:themeColor="text1"/>
        </w:rPr>
        <w:t xml:space="preserve"> and the PCP rate to the family is $24 a day.  In this scenario the family would continue to receive $24 per day x 365 = $8,760 per year divided by 12 = $730 per month. </w:t>
      </w:r>
    </w:p>
    <w:p w14:paraId="4F7D76AC" w14:textId="77777777" w:rsidR="003365FC" w:rsidRPr="008D125B" w:rsidRDefault="000D71FF" w:rsidP="008D125B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The child is a LOC</w:t>
      </w:r>
      <w:r w:rsidR="003365FC" w:rsidRPr="008D125B">
        <w:rPr>
          <w:rFonts w:ascii="Arial" w:eastAsia="Times New Roman" w:hAnsi="Arial" w:cs="Arial"/>
          <w:color w:val="000000" w:themeColor="text1"/>
        </w:rPr>
        <w:t xml:space="preserve"> 3 and the PCP daily rate to the family is $50 a day.  In this </w:t>
      </w:r>
      <w:r w:rsidRPr="008D125B">
        <w:rPr>
          <w:rFonts w:ascii="Arial" w:eastAsia="Times New Roman" w:hAnsi="Arial" w:cs="Arial"/>
          <w:color w:val="000000" w:themeColor="text1"/>
        </w:rPr>
        <w:t>scenario,</w:t>
      </w:r>
      <w:r w:rsidR="003365FC" w:rsidRPr="008D125B">
        <w:rPr>
          <w:rFonts w:ascii="Arial" w:eastAsia="Times New Roman" w:hAnsi="Arial" w:cs="Arial"/>
          <w:color w:val="000000" w:themeColor="text1"/>
        </w:rPr>
        <w:t xml:space="preserve"> DCBS staff should utilize t</w:t>
      </w:r>
      <w:r>
        <w:rPr>
          <w:rFonts w:ascii="Arial" w:eastAsia="Times New Roman" w:hAnsi="Arial" w:cs="Arial"/>
          <w:color w:val="000000" w:themeColor="text1"/>
        </w:rPr>
        <w:t>he corresponding DCBS rate for advanced care p</w:t>
      </w:r>
      <w:r w:rsidR="003365FC" w:rsidRPr="008D125B">
        <w:rPr>
          <w:rFonts w:ascii="Arial" w:eastAsia="Times New Roman" w:hAnsi="Arial" w:cs="Arial"/>
          <w:color w:val="000000" w:themeColor="text1"/>
        </w:rPr>
        <w:t xml:space="preserve">lus which would be $47.70 per day, $17,412 per year, $1,451 month.   </w:t>
      </w:r>
    </w:p>
    <w:p w14:paraId="1B3E90C2" w14:textId="77777777" w:rsidR="000D71FF" w:rsidRDefault="003365FC" w:rsidP="003365FC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000000" w:themeColor="text1"/>
        </w:rPr>
      </w:pPr>
      <w:r w:rsidRPr="000D71FF">
        <w:rPr>
          <w:rFonts w:ascii="Arial" w:eastAsia="Times New Roman" w:hAnsi="Arial" w:cs="Arial"/>
          <w:color w:val="000000" w:themeColor="text1"/>
        </w:rPr>
        <w:t>A child placed in therapeutic foster care shall not receive an adoption subsidy in excess to the DCBS care plus rates established, unless</w:t>
      </w:r>
      <w:r w:rsidR="000D71FF">
        <w:rPr>
          <w:rFonts w:ascii="Arial" w:eastAsia="Times New Roman" w:hAnsi="Arial" w:cs="Arial"/>
          <w:color w:val="000000" w:themeColor="text1"/>
        </w:rPr>
        <w:t>:</w:t>
      </w:r>
    </w:p>
    <w:p w14:paraId="4A442802" w14:textId="77777777" w:rsidR="000D71FF" w:rsidRPr="000D71FF" w:rsidRDefault="003365FC" w:rsidP="000D71FF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000000" w:themeColor="text1"/>
        </w:rPr>
      </w:pPr>
      <w:r w:rsidRPr="000D71FF">
        <w:rPr>
          <w:rFonts w:ascii="Arial" w:eastAsia="Times New Roman" w:hAnsi="Arial" w:cs="Arial"/>
        </w:rPr>
        <w:t>The dollar amount is determined necessary to meet the child’s needs; and</w:t>
      </w:r>
    </w:p>
    <w:p w14:paraId="33BFC425" w14:textId="77777777" w:rsidR="003365FC" w:rsidRPr="000D71FF" w:rsidRDefault="000D71FF" w:rsidP="000D71FF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</w:rPr>
        <w:t>Receives c</w:t>
      </w:r>
      <w:r w:rsidR="003365FC" w:rsidRPr="000D71FF">
        <w:rPr>
          <w:rFonts w:ascii="Arial" w:eastAsia="Times New Roman" w:hAnsi="Arial" w:cs="Arial"/>
        </w:rPr>
        <w:t xml:space="preserve">ommissioner or designee approval through an </w:t>
      </w:r>
      <w:r w:rsidR="003365FC" w:rsidRPr="000D71FF">
        <w:rPr>
          <w:rFonts w:ascii="Arial" w:eastAsia="Times New Roman" w:hAnsi="Arial" w:cs="Arial"/>
          <w:u w:val="single"/>
        </w:rPr>
        <w:t>Adoption Monthly Payment Exception memo</w:t>
      </w:r>
      <w:r w:rsidR="003365FC" w:rsidRPr="000D71FF">
        <w:rPr>
          <w:rFonts w:ascii="Arial" w:eastAsia="Times New Roman" w:hAnsi="Arial" w:cs="Arial"/>
        </w:rPr>
        <w:t xml:space="preserve"> and include supporti</w:t>
      </w:r>
      <w:r>
        <w:rPr>
          <w:rFonts w:ascii="Arial" w:eastAsia="Times New Roman" w:hAnsi="Arial" w:cs="Arial"/>
        </w:rPr>
        <w:t>ng docu</w:t>
      </w:r>
      <w:r w:rsidR="009E2609">
        <w:rPr>
          <w:rFonts w:ascii="Arial" w:eastAsia="Times New Roman" w:hAnsi="Arial" w:cs="Arial"/>
        </w:rPr>
        <w:t xml:space="preserve">mentation.  </w:t>
      </w:r>
      <w:r w:rsidR="003365FC" w:rsidRPr="000D71FF">
        <w:rPr>
          <w:rFonts w:ascii="Arial" w:eastAsia="Times New Roman" w:hAnsi="Arial" w:cs="Arial"/>
        </w:rPr>
        <w:t xml:space="preserve">   </w:t>
      </w:r>
    </w:p>
    <w:p w14:paraId="5ED49D1A" w14:textId="77777777" w:rsidR="003365FC" w:rsidRPr="008D125B" w:rsidRDefault="003365FC" w:rsidP="003365FC"/>
    <w:sectPr w:rsidR="003365FC" w:rsidRPr="008D125B" w:rsidSect="008D12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139E7"/>
    <w:multiLevelType w:val="hybridMultilevel"/>
    <w:tmpl w:val="63CE5DD0"/>
    <w:lvl w:ilvl="0" w:tplc="782814A4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color w:val="676767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A5482"/>
    <w:multiLevelType w:val="multilevel"/>
    <w:tmpl w:val="9244C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color w:val="FF000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3105AB"/>
    <w:multiLevelType w:val="multilevel"/>
    <w:tmpl w:val="91BE8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595959" w:themeColor="text1" w:themeTint="A6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  <w:color w:val="FF000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336711"/>
    <w:multiLevelType w:val="hybridMultilevel"/>
    <w:tmpl w:val="6CFEA516"/>
    <w:lvl w:ilvl="0" w:tplc="29A035C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676767"/>
        <w:sz w:val="1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F4A66"/>
    <w:multiLevelType w:val="hybridMultilevel"/>
    <w:tmpl w:val="DAD0D812"/>
    <w:lvl w:ilvl="0" w:tplc="04090015">
      <w:start w:val="1"/>
      <w:numFmt w:val="upperLetter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69A77963"/>
    <w:multiLevelType w:val="hybridMultilevel"/>
    <w:tmpl w:val="503ECA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color w:val="676767"/>
        <w:sz w:val="1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DA497A"/>
    <w:multiLevelType w:val="multilevel"/>
    <w:tmpl w:val="91BE8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595959" w:themeColor="text1" w:themeTint="A6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  <w:color w:val="FF000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QyMTQwMjYDQkNjSyUdpeDU4uLM/DyQAsNaADoNg3UsAAAA"/>
  </w:docVars>
  <w:rsids>
    <w:rsidRoot w:val="003365FC"/>
    <w:rsid w:val="00060AF4"/>
    <w:rsid w:val="000D71FF"/>
    <w:rsid w:val="0026487B"/>
    <w:rsid w:val="003365FC"/>
    <w:rsid w:val="008D125B"/>
    <w:rsid w:val="009E2609"/>
    <w:rsid w:val="00A50953"/>
    <w:rsid w:val="00EF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0F0C3"/>
  <w15:chartTrackingRefBased/>
  <w15:docId w15:val="{95E0AD7A-407A-4947-82CC-F0075ED97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65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6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5F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F44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44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44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44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44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OP Unnumbered Form" ma:contentTypeID="0x010100127F0E5EED23B64B835EF3F44A08336600AB9E67320D48684F8106052C7E6CBED1" ma:contentTypeVersion="20" ma:contentTypeDescription="" ma:contentTypeScope="" ma:versionID="dcd08fc84dc19a4f2a7802bd909309cb">
  <xsd:schema xmlns:xsd="http://www.w3.org/2001/XMLSchema" xmlns:xs="http://www.w3.org/2001/XMLSchema" xmlns:p="http://schemas.microsoft.com/office/2006/metadata/properties" xmlns:ns1="http://schemas.microsoft.com/sharepoint/v3" xmlns:ns2="65b60e10-1d1f-48db-8ed9-28ba608457d0" xmlns:ns3="c909097a-6b9c-48e5-8798-11afeb7bd88b" targetNamespace="http://schemas.microsoft.com/office/2006/metadata/properties" ma:root="true" ma:fieldsID="ffaf54ce49479052b89da2253c93c1d3" ns1:_="" ns2:_="" ns3:_="">
    <xsd:import namespace="http://schemas.microsoft.com/sharepoint/v3"/>
    <xsd:import namespace="65b60e10-1d1f-48db-8ed9-28ba608457d0"/>
    <xsd:import namespace="c909097a-6b9c-48e5-8798-11afeb7bd88b"/>
    <xsd:element name="properties">
      <xsd:complexType>
        <xsd:sequence>
          <xsd:element name="documentManagement">
            <xsd:complexType>
              <xsd:all>
                <xsd:element ref="ns2:sopFormDate"/>
                <xsd:element ref="ns1:Language"/>
                <xsd:element ref="ns3:sopFormGroup"/>
                <xsd:element ref="ns3:sopFor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3" ma:displayName="Language" ma:default="English" ma:internalName="Language" ma:readOnly="fals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b60e10-1d1f-48db-8ed9-28ba608457d0" elementFormDefault="qualified">
    <xsd:import namespace="http://schemas.microsoft.com/office/2006/documentManagement/types"/>
    <xsd:import namespace="http://schemas.microsoft.com/office/infopath/2007/PartnerControls"/>
    <xsd:element name="sopFormDate" ma:index="2" ma:displayName="Form Date" ma:default="[today]" ma:format="DateOnly" ma:internalName="sopForm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9097a-6b9c-48e5-8798-11afeb7bd88b" elementFormDefault="qualified">
    <xsd:import namespace="http://schemas.microsoft.com/office/2006/documentManagement/types"/>
    <xsd:import namespace="http://schemas.microsoft.com/office/infopath/2007/PartnerControls"/>
    <xsd:element name="sopFormGroup" ma:index="10" ma:displayName="Form Group" ma:list="{663164ef-486d-448b-af36-56816da75125}" ma:internalName="sopFormGroup" ma:readOnly="false" ma:showField="Title">
      <xsd:simpleType>
        <xsd:restriction base="dms:Lookup"/>
      </xsd:simpleType>
    </xsd:element>
    <xsd:element name="sopFormTags" ma:index="11" nillable="true" ma:displayName="Form Tags" ma:list="{31a23525-d785-421f-bbcf-d2f839a13d64}" ma:internalName="sopFormTags" ma:readOnly="false" ma:showField="Title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AF5937A0C14B910C22437136B414" ma:contentTypeVersion="11" ma:contentTypeDescription="Create a new document." ma:contentTypeScope="" ma:versionID="6249c9f82001c581b3a71b9188a10f8f">
  <xsd:schema xmlns:xsd="http://www.w3.org/2001/XMLSchema" xmlns:xs="http://www.w3.org/2001/XMLSchema" xmlns:p="http://schemas.microsoft.com/office/2006/metadata/properties" xmlns:ns1="25652375-5976-448a-91e2-83c2698bbafa" xmlns:ns2="http://schemas.microsoft.com/sharepoint/v3" xmlns:ns3="a79bd224-4819-40b2-aa9b-f8999d5b687f" targetNamespace="http://schemas.microsoft.com/office/2006/metadata/properties" ma:root="true" ma:fieldsID="a6732eef91ac59167f9d6a9ed3f5612c" ns1:_="" ns2:_="" ns3:_="">
    <xsd:import namespace="25652375-5976-448a-91e2-83c2698bbafa"/>
    <xsd:import namespace="http://schemas.microsoft.com/sharepoint/v3"/>
    <xsd:import namespace="a79bd224-4819-40b2-aa9b-f8999d5b687f"/>
    <xsd:element name="properties">
      <xsd:complexType>
        <xsd:sequence>
          <xsd:element name="documentManagement">
            <xsd:complexType>
              <xsd:all>
                <xsd:element ref="ns1:Archived" minOccurs="0"/>
                <xsd:element ref="ns1:Types" minOccurs="0"/>
                <xsd:element ref="ns1:Memo_x0020_Types" minOccurs="0"/>
                <xsd:element ref="ns1:Document_x0020_Year" minOccurs="0"/>
                <xsd:element ref="ns3:rh2e" minOccurs="0"/>
                <xsd:element ref="ns2:RoutingRuleDescription" minOccurs="0"/>
                <xsd:element ref="ns1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52375-5976-448a-91e2-83c2698bbafa" elementFormDefault="qualified">
    <xsd:import namespace="http://schemas.microsoft.com/office/2006/documentManagement/types"/>
    <xsd:import namespace="http://schemas.microsoft.com/office/infopath/2007/PartnerControls"/>
    <xsd:element name="Archived" ma:index="0" nillable="true" ma:displayName="Archived" ma:default="0" ma:indexed="true" ma:internalName="Archived">
      <xsd:simpleType>
        <xsd:restriction base="dms:Boolean"/>
      </xsd:simpleType>
    </xsd:element>
    <xsd:element name="Types" ma:index="3" nillable="true" ma:displayName="Types" ma:format="Dropdown" ma:internalName="Types">
      <xsd:simpleType>
        <xsd:restriction base="dms:Choice">
          <xsd:enumeration value="None"/>
          <xsd:enumeration value="Document"/>
          <xsd:enumeration value="Memo"/>
          <xsd:enumeration value="Statement Of Consideration"/>
          <xsd:enumeration value="Did you Know"/>
          <xsd:enumeration value="Newsletter"/>
        </xsd:restriction>
      </xsd:simpleType>
    </xsd:element>
    <xsd:element name="Memo_x0020_Types" ma:index="4" nillable="true" ma:displayName="Memo Types" ma:format="Dropdown" ma:internalName="Memo_x0020_Types">
      <xsd:simpleType>
        <xsd:restriction base="dms:Choice">
          <xsd:enumeration value="None"/>
          <xsd:enumeration value="PCCT"/>
          <xsd:enumeration value="PPTL"/>
          <xsd:enumeration value="PPM"/>
          <xsd:enumeration value="PPIM"/>
          <xsd:enumeration value="CCT"/>
        </xsd:restriction>
      </xsd:simpleType>
    </xsd:element>
    <xsd:element name="Document_x0020_Year" ma:index="5" nillable="true" ma:displayName="Document Year" ma:format="Dropdown" ma:internalName="Document_x0020_Year">
      <xsd:simpleType>
        <xsd:restriction base="dms:Choice">
          <xsd:enumeration value="None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</xsd:restriction>
      </xsd:simpleType>
    </xsd:element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7" nillable="true" ma:displayName="Description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bd224-4819-40b2-aa9b-f8999d5b687f" elementFormDefault="qualified">
    <xsd:import namespace="http://schemas.microsoft.com/office/2006/documentManagement/types"/>
    <xsd:import namespace="http://schemas.microsoft.com/office/infopath/2007/PartnerControls"/>
    <xsd:element name="rh2e" ma:index="6" nillable="true" ma:displayName="Date and Time" ma:hidden="true" ma:internalName="rh2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h2e xmlns="a79bd224-4819-40b2-aa9b-f8999d5b687f" xsi:nil="true"/>
    <Types xmlns="25652375-5976-448a-91e2-83c2698bbafa">Document</Types>
    <Archived xmlns="25652375-5976-448a-91e2-83c2698bbafa">false</Archived>
    <Memo_x0020_Types xmlns="25652375-5976-448a-91e2-83c2698bbafa" xsi:nil="true"/>
    <Document_x0020_Year xmlns="25652375-5976-448a-91e2-83c2698bbafa">2020</Document_x0020_Year>
    <RoutingRule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E189B15-34AB-40BB-B881-F5DA8E6902A2}"/>
</file>

<file path=customXml/itemProps2.xml><?xml version="1.0" encoding="utf-8"?>
<ds:datastoreItem xmlns:ds="http://schemas.openxmlformats.org/officeDocument/2006/customXml" ds:itemID="{6B1F302D-1412-42C3-862A-0C6CDC291557}"/>
</file>

<file path=customXml/itemProps3.xml><?xml version="1.0" encoding="utf-8"?>
<ds:datastoreItem xmlns:ds="http://schemas.openxmlformats.org/officeDocument/2006/customXml" ds:itemID="{658A74A3-CF03-47A0-93A5-3C45FAD632A7}"/>
</file>

<file path=customXml/itemProps4.xml><?xml version="1.0" encoding="utf-8"?>
<ds:datastoreItem xmlns:ds="http://schemas.openxmlformats.org/officeDocument/2006/customXml" ds:itemID="{1745019D-8BFE-453A-8727-F236A48A96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Private Child Placing (PCP) Adoption Subsidy Calculation Tipsheet</dc:title>
  <dc:subject/>
  <dc:creator>Jordan Sears, Veronica (CHFS DCBS DPP)</dc:creator>
  <cp:keywords/>
  <dc:description/>
  <cp:lastModifiedBy>Cubert, Julie M (CHFS DCBS DPP)</cp:lastModifiedBy>
  <cp:revision>2</cp:revision>
  <cp:lastPrinted>2019-11-14T19:36:00Z</cp:lastPrinted>
  <dcterms:created xsi:type="dcterms:W3CDTF">2020-11-30T20:18:00Z</dcterms:created>
  <dcterms:modified xsi:type="dcterms:W3CDTF">2020-11-30T20:18:00Z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0x010100EA66AF5937A0C14B910C22437136B414</vt:lpwstr>
  </property>
  <property fmtid="{D5CDD505-2E9C-101B-9397-08002B2CF9AE}" pid="3" name="sopFormNameDisplay">
    <vt:lpwstr>0</vt:lpwstr>
  </property>
  <property fmtid="{D5CDD505-2E9C-101B-9397-08002B2CF9AE}" pid="4" name="sopFormNumberSort">
    <vt:r8>0</vt:r8>
  </property>
  <property fmtid="{D5CDD505-2E9C-101B-9397-08002B2CF9AE}" pid="5" name="Order">
    <vt:r8>1800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Archived">
    <vt:bool>false</vt:bool>
  </property>
  <property fmtid="{D5CDD505-2E9C-101B-9397-08002B2CF9AE}" pid="15" name="Types">
    <vt:lpwstr>Document</vt:lpwstr>
  </property>
  <property fmtid="{D5CDD505-2E9C-101B-9397-08002B2CF9AE}" pid="16" name="Document Year">
    <vt:lpwstr>2020</vt:lpwstr>
  </property>
</Properties>
</file>